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:rsidR="005067FE" w:rsidRPr="007A5E51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4"/>
          <w:u w:val="single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31518C">
        <w:rPr>
          <w:rFonts w:ascii="GHEA Grapalat" w:hAnsi="GHEA Grapalat"/>
          <w:b w:val="0"/>
          <w:sz w:val="24"/>
          <w:lang w:val="af-ZA"/>
        </w:rPr>
        <w:t>ԵՄ-ԳՀԱՊՁԲ-21/10</w:t>
      </w:r>
    </w:p>
    <w:p w:rsidR="00765F01" w:rsidRPr="007A5E51" w:rsidRDefault="00765F01" w:rsidP="00D96EC7">
      <w:pPr>
        <w:widowControl w:val="0"/>
        <w:spacing w:line="276" w:lineRule="auto"/>
        <w:jc w:val="both"/>
        <w:rPr>
          <w:rFonts w:ascii="GHEA Grapalat" w:hAnsi="GHEA Grapalat"/>
        </w:rPr>
      </w:pPr>
    </w:p>
    <w:p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31518C">
        <w:rPr>
          <w:rFonts w:ascii="GHEA Grapalat" w:hAnsi="GHEA Grapalat"/>
          <w:sz w:val="20"/>
        </w:rPr>
        <w:t>ԵՄ-ԳՀԱՊՁԲ-21/10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31518C">
        <w:rPr>
          <w:rFonts w:ascii="GHEA Grapalat" w:hAnsi="GHEA Grapalat" w:hint="eastAsia"/>
          <w:sz w:val="20"/>
          <w:szCs w:val="24"/>
        </w:rPr>
        <w:t>радиодеталей</w:t>
      </w:r>
      <w:r w:rsidR="00C361C3" w:rsidRPr="00FE2112">
        <w:rPr>
          <w:rFonts w:ascii="GHEA Grapalat" w:hAnsi="GHEA Grapalat"/>
          <w:sz w:val="20"/>
          <w:szCs w:val="24"/>
          <w:lang w:val="hy-AM"/>
        </w:rPr>
        <w:t xml:space="preserve"> </w:t>
      </w:r>
      <w:r w:rsidR="00FF57BB" w:rsidRPr="00FE2112">
        <w:rPr>
          <w:rFonts w:ascii="GHEA Grapalat" w:hAnsi="GHEA Grapalat"/>
          <w:sz w:val="20"/>
        </w:rPr>
        <w:t>для своих нужд:</w:t>
      </w:r>
    </w:p>
    <w:p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31518C" w:rsidRPr="0031518C">
        <w:rPr>
          <w:rFonts w:ascii="GHEA Grapalat" w:hAnsi="GHEA Grapalat"/>
          <w:sz w:val="20"/>
        </w:rPr>
        <w:t>13.01.2021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2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208"/>
      </w:tblGrid>
      <w:tr w:rsidR="007A5E51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51D5D" w:rsidRPr="0031518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Резистор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SMD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Диод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Диод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Диод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Диод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Названия предметов закупки, по частям 21-53 лотов в Приложения 2, не соответствуют </w:t>
            </w: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lastRenderedPageBreak/>
              <w:t>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</w:t>
            </w: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lastRenderedPageBreak/>
              <w:t>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Названия предметов закупки, по частям 21-53 лотов в Приложения 2, не соответствуют наименованиям, </w:t>
            </w: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lastRenderedPageBreak/>
              <w:t>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</w:t>
            </w: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lastRenderedPageBreak/>
              <w:t>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31518C">
              <w:rPr>
                <w:rFonts w:ascii="GHEA Grapalat" w:hAnsi="GHEA Grapalat" w:cs="Calibri"/>
                <w:sz w:val="16"/>
                <w:szCs w:val="16"/>
                <w:lang w:val="af-ZA"/>
              </w:rPr>
              <w:t>Названия предметов закупки, по частям 21-53 лотов в Приложения 2, не соответствуют наименованиям, указанным в приглашении к данной процедуре закупки. Заявки последнего мпо частям этих лотов были отклонены.</w:t>
            </w: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Электролитический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керамическиийКЛС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Н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КЛС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КЛС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КСОТ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-1 250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Г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КСОТ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-1 250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Г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КСОТ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-1 250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Г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21-7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КЛС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Конденсатор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 xml:space="preserve"> 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керамическиий КЛС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-1-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Транзистор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Оптрон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Оптрон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Оптрон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Диодный мост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ШИМ</w:t>
            </w:r>
            <w:r w:rsidRPr="0031518C">
              <w:rPr>
                <w:rFonts w:ascii="Arial LatRus" w:hAnsi="Arial LatRus" w:cs="Calibri"/>
                <w:color w:val="000000"/>
                <w:sz w:val="16"/>
                <w:szCs w:val="16"/>
              </w:rPr>
              <w:t>-</w:t>
            </w: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контроллер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Микросхема контроллер напряжения и тока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Микроконтроллер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Микросхема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Батарейка CR2032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Светодиодный  драйвер</w:t>
            </w: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917A9E" w:rsidRPr="0031518C" w:rsidTr="00C361C3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:rsidR="00917A9E" w:rsidRPr="0031518C" w:rsidRDefault="00917A9E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917A9E" w:rsidRPr="0031518C" w:rsidRDefault="00917A9E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Цилиндрический светодиод  с прозрачной линзой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31518C" w:rsidRPr="0031518C" w:rsidTr="00C361C3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Цилиндрический светодиод с прозрачной линзой</w:t>
            </w:r>
          </w:p>
        </w:tc>
        <w:tc>
          <w:tcPr>
            <w:tcW w:w="1676" w:type="dxa"/>
            <w:vAlign w:val="center"/>
          </w:tcPr>
          <w:p w:rsidR="0031518C" w:rsidRPr="0031518C" w:rsidRDefault="0031518C" w:rsidP="003151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31518C" w:rsidRPr="0031518C" w:rsidRDefault="0031518C" w:rsidP="0031518C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</w:tbl>
    <w:p w:rsidR="0031518C" w:rsidRPr="0031518C" w:rsidRDefault="0031518C" w:rsidP="0031518C">
      <w:pPr>
        <w:pStyle w:val="BodyTextIndent2"/>
        <w:ind w:firstLine="900"/>
        <w:rPr>
          <w:rFonts w:ascii="GHEA Grapalat" w:hAnsi="GHEA Grapalat"/>
          <w:i/>
          <w:sz w:val="16"/>
          <w:szCs w:val="16"/>
          <w:lang w:val="hy-AM"/>
        </w:rPr>
      </w:pPr>
      <w:r w:rsidRPr="0031518C">
        <w:rPr>
          <w:rFonts w:ascii="GHEA Grapalat" w:hAnsi="GHEA Grapalat"/>
          <w:i/>
          <w:sz w:val="16"/>
          <w:szCs w:val="16"/>
        </w:rPr>
        <w:t>*</w:t>
      </w:r>
      <w:r w:rsidRPr="0031518C">
        <w:rPr>
          <w:rFonts w:ascii="GHEA Grapalat" w:hAnsi="GHEA Grapalat"/>
          <w:i/>
          <w:sz w:val="16"/>
          <w:szCs w:val="16"/>
          <w:lang w:val="hy-AM" w:eastAsia="en-US" w:bidi="ar-SA"/>
        </w:rPr>
        <w:t xml:space="preserve"> 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по частям 1-20, 54-57, 81-97 лотов с участниками, у которых результаты оценкки были удовлетворительными, </w:t>
      </w:r>
      <w:r w:rsidRPr="0031518C">
        <w:rPr>
          <w:rFonts w:ascii="GHEA Grapalat" w:hAnsi="GHEA Grapalat"/>
          <w:i/>
          <w:sz w:val="16"/>
          <w:szCs w:val="16"/>
        </w:rPr>
        <w:t xml:space="preserve">были приглашены одновременные переговоры </w:t>
      </w:r>
      <w:r w:rsidRPr="0031518C">
        <w:rPr>
          <w:rFonts w:ascii="GHEA Grapalat" w:hAnsi="GHEA Grapalat"/>
          <w:i/>
          <w:sz w:val="16"/>
          <w:szCs w:val="16"/>
          <w:lang w:val="hy-AM"/>
        </w:rPr>
        <w:t>для снижения цен</w:t>
      </w:r>
      <w:r w:rsidRPr="0031518C">
        <w:rPr>
          <w:rFonts w:ascii="GHEA Grapalat" w:hAnsi="GHEA Grapalat"/>
          <w:i/>
          <w:sz w:val="16"/>
          <w:szCs w:val="16"/>
        </w:rPr>
        <w:t>.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1.</w:t>
      </w:r>
      <w:r w:rsidRPr="0031518C">
        <w:rPr>
          <w:rFonts w:ascii="GHEA Grapalat" w:hAnsi="GHEA Grapalat"/>
          <w:i/>
          <w:sz w:val="16"/>
          <w:szCs w:val="16"/>
          <w:lang w:val="hy-AM"/>
        </w:rPr>
        <w:tab/>
        <w:t xml:space="preserve">1-20, 54-57, 81-91, 93-96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лоты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объявить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несостоявшимся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на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основании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требований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изложенных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в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подпункте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1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пункта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1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статьи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37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Закона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РА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«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О</w:t>
      </w:r>
      <w:r w:rsidRPr="0031518C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1518C">
        <w:rPr>
          <w:rFonts w:ascii="GHEA Grapalat" w:hAnsi="GHEA Grapalat" w:hint="eastAsia"/>
          <w:i/>
          <w:sz w:val="16"/>
          <w:szCs w:val="16"/>
          <w:lang w:val="hy-AM"/>
        </w:rPr>
        <w:t>закупках»</w:t>
      </w:r>
      <w:r w:rsidRPr="0031518C">
        <w:rPr>
          <w:rFonts w:ascii="GHEA Grapalat" w:hAnsi="GHEA Grapalat"/>
          <w:i/>
          <w:sz w:val="16"/>
          <w:szCs w:val="16"/>
          <w:lang w:val="hy-AM"/>
        </w:rPr>
        <w:t>.</w:t>
      </w:r>
    </w:p>
    <w:p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31518C" w:rsidRPr="0031518C" w:rsidTr="009D0BDC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:rsidR="0031518C" w:rsidRPr="0031518C" w:rsidRDefault="0031518C" w:rsidP="009D0BD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31518C" w:rsidRPr="0031518C" w:rsidRDefault="0031518C" w:rsidP="009D0BDC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участниками места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31518C" w:rsidRPr="0031518C" w:rsidRDefault="0031518C" w:rsidP="009D0BDC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1400" w:type="dxa"/>
            <w:vAlign w:val="center"/>
          </w:tcPr>
          <w:p w:rsidR="0031518C" w:rsidRPr="0031518C" w:rsidRDefault="0031518C" w:rsidP="009D0BD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31518C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18C" w:rsidRPr="0031518C" w:rsidRDefault="0031518C" w:rsidP="009D0BD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1518C" w:rsidRPr="0031518C" w:rsidRDefault="0031518C" w:rsidP="009D0BD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31518C" w:rsidRPr="0031518C" w:rsidTr="009D0BDC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1518C" w:rsidRPr="00A06A61" w:rsidRDefault="00A06A61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92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400" w:type="dxa"/>
            <w:vAlign w:val="center"/>
          </w:tcPr>
          <w:p w:rsidR="0031518C" w:rsidRPr="0031518C" w:rsidRDefault="0031518C" w:rsidP="009D0BD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16,000.00</w:t>
            </w:r>
          </w:p>
        </w:tc>
      </w:tr>
      <w:tr w:rsidR="0031518C" w:rsidRPr="0031518C" w:rsidTr="009D0BDC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400" w:type="dxa"/>
            <w:vAlign w:val="center"/>
          </w:tcPr>
          <w:p w:rsidR="0031518C" w:rsidRPr="0031518C" w:rsidRDefault="0031518C" w:rsidP="009D0BD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21,090.00</w:t>
            </w:r>
          </w:p>
        </w:tc>
      </w:tr>
      <w:tr w:rsidR="0031518C" w:rsidRPr="0031518C" w:rsidTr="009D0BDC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1518C" w:rsidRPr="00A06A61" w:rsidRDefault="00A06A61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97</w:t>
            </w:r>
            <w:bookmarkStart w:id="0" w:name="_GoBack"/>
            <w:bookmarkEnd w:id="0"/>
          </w:p>
        </w:tc>
        <w:tc>
          <w:tcPr>
            <w:tcW w:w="1163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400" w:type="dxa"/>
            <w:vAlign w:val="center"/>
          </w:tcPr>
          <w:p w:rsidR="0031518C" w:rsidRPr="0031518C" w:rsidRDefault="0031518C" w:rsidP="009D0BD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16,000.00</w:t>
            </w:r>
          </w:p>
        </w:tc>
      </w:tr>
      <w:tr w:rsidR="0031518C" w:rsidRPr="0031518C" w:rsidTr="009D0BDC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1518C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ООО “Мовсесян”</w:t>
            </w:r>
          </w:p>
        </w:tc>
        <w:tc>
          <w:tcPr>
            <w:tcW w:w="1400" w:type="dxa"/>
            <w:vAlign w:val="center"/>
          </w:tcPr>
          <w:p w:rsidR="0031518C" w:rsidRPr="0031518C" w:rsidRDefault="0031518C" w:rsidP="009D0BD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31518C" w:rsidRPr="0031518C" w:rsidRDefault="0031518C" w:rsidP="009D0B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518C">
              <w:rPr>
                <w:rFonts w:ascii="Calibri" w:hAnsi="Calibri" w:cs="Calibri"/>
                <w:color w:val="000000"/>
                <w:sz w:val="16"/>
                <w:szCs w:val="16"/>
              </w:rPr>
              <w:t>23,800.00</w:t>
            </w:r>
          </w:p>
        </w:tc>
      </w:tr>
    </w:tbl>
    <w:p w:rsidR="0031518C" w:rsidRDefault="0031518C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 xml:space="preserve">Мария Казарян,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31518C">
        <w:rPr>
          <w:rFonts w:ascii="GHEA Grapalat" w:hAnsi="GHEA Grapalat"/>
          <w:sz w:val="20"/>
          <w:szCs w:val="24"/>
        </w:rPr>
        <w:t>ԵՄ-ԳՀԱՊՁԲ-21/10</w:t>
      </w:r>
      <w:r w:rsidRPr="00FE2112">
        <w:rPr>
          <w:rFonts w:ascii="GHEA Grapalat" w:hAnsi="GHEA Grapalat"/>
          <w:sz w:val="20"/>
          <w:szCs w:val="24"/>
        </w:rPr>
        <w:t>.</w:t>
      </w:r>
    </w:p>
    <w:p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:rsidR="00D96EC7" w:rsidRPr="007A5E51" w:rsidRDefault="00D96EC7" w:rsidP="00D96EC7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p w:rsidR="00613058" w:rsidRPr="007A5E51" w:rsidRDefault="00613058" w:rsidP="00D96EC7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ED0" w:rsidRDefault="002A5ED0">
      <w:r>
        <w:separator/>
      </w:r>
    </w:p>
  </w:endnote>
  <w:endnote w:type="continuationSeparator" w:id="0">
    <w:p w:rsidR="002A5ED0" w:rsidRDefault="002A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06A61">
          <w:rPr>
            <w:rFonts w:ascii="GHEA Grapalat" w:hAnsi="GHEA Grapalat"/>
            <w:noProof/>
            <w:sz w:val="24"/>
            <w:szCs w:val="24"/>
          </w:rPr>
          <w:t>10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ED0" w:rsidRDefault="002A5ED0">
      <w:r>
        <w:separator/>
      </w:r>
    </w:p>
  </w:footnote>
  <w:footnote w:type="continuationSeparator" w:id="0">
    <w:p w:rsidR="002A5ED0" w:rsidRDefault="002A5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EACE4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1976-C35C-4F1D-9898-10F893C1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41</cp:revision>
  <cp:lastPrinted>2021-01-13T09:15:00Z</cp:lastPrinted>
  <dcterms:created xsi:type="dcterms:W3CDTF">2018-08-08T07:12:00Z</dcterms:created>
  <dcterms:modified xsi:type="dcterms:W3CDTF">2021-01-13T09:15:00Z</dcterms:modified>
</cp:coreProperties>
</file>